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19392" w14:textId="77777777" w:rsidR="00866240" w:rsidRDefault="00866240" w:rsidP="00866240">
      <w:pPr>
        <w:spacing w:after="0" w:line="240" w:lineRule="auto"/>
        <w:jc w:val="center"/>
        <w:rPr>
          <w:b/>
          <w:sz w:val="28"/>
          <w:szCs w:val="28"/>
        </w:rPr>
      </w:pPr>
      <w:r w:rsidRPr="00AB70B4">
        <w:rPr>
          <w:b/>
          <w:sz w:val="28"/>
          <w:szCs w:val="28"/>
        </w:rPr>
        <w:t>Gestionar el conocimiento. Estrategias de enseñanza y aprendizaje</w:t>
      </w:r>
    </w:p>
    <w:p w14:paraId="36E701F6" w14:textId="77777777" w:rsidR="004914FE" w:rsidRDefault="004914FE" w:rsidP="00866240">
      <w:pPr>
        <w:spacing w:after="0" w:line="240" w:lineRule="auto"/>
        <w:jc w:val="center"/>
        <w:rPr>
          <w:b/>
          <w:sz w:val="28"/>
          <w:szCs w:val="28"/>
        </w:rPr>
      </w:pPr>
    </w:p>
    <w:p w14:paraId="5742FD80" w14:textId="77777777" w:rsidR="0019253F" w:rsidRDefault="004914FE" w:rsidP="004914FE">
      <w:pPr>
        <w:spacing w:after="0" w:line="240" w:lineRule="auto"/>
        <w:rPr>
          <w:b/>
          <w:sz w:val="28"/>
          <w:szCs w:val="28"/>
        </w:rPr>
      </w:pPr>
      <w:r>
        <w:rPr>
          <w:b/>
          <w:sz w:val="28"/>
          <w:szCs w:val="28"/>
        </w:rPr>
        <w:t xml:space="preserve">Equipo: FESI  </w:t>
      </w:r>
    </w:p>
    <w:p w14:paraId="40040E1D" w14:textId="77777777" w:rsidR="004914FE" w:rsidRDefault="004914FE" w:rsidP="004914FE">
      <w:pPr>
        <w:spacing w:after="0" w:line="240" w:lineRule="auto"/>
        <w:rPr>
          <w:sz w:val="28"/>
          <w:szCs w:val="28"/>
        </w:rPr>
      </w:pPr>
      <w:r>
        <w:rPr>
          <w:b/>
          <w:sz w:val="28"/>
          <w:szCs w:val="28"/>
        </w:rPr>
        <w:t>Conformado por: F</w:t>
      </w:r>
      <w:r w:rsidRPr="004914FE">
        <w:rPr>
          <w:sz w:val="28"/>
          <w:szCs w:val="28"/>
        </w:rPr>
        <w:t>abiola Sandoval Villegas</w:t>
      </w:r>
      <w:r>
        <w:rPr>
          <w:b/>
          <w:sz w:val="28"/>
          <w:szCs w:val="28"/>
        </w:rPr>
        <w:t xml:space="preserve">, </w:t>
      </w:r>
      <w:proofErr w:type="spellStart"/>
      <w:r>
        <w:rPr>
          <w:b/>
          <w:sz w:val="28"/>
          <w:szCs w:val="28"/>
        </w:rPr>
        <w:t>E</w:t>
      </w:r>
      <w:r w:rsidRPr="004914FE">
        <w:rPr>
          <w:sz w:val="28"/>
          <w:szCs w:val="28"/>
        </w:rPr>
        <w:t>réndida</w:t>
      </w:r>
      <w:proofErr w:type="spellEnd"/>
      <w:r w:rsidRPr="004914FE">
        <w:rPr>
          <w:sz w:val="28"/>
          <w:szCs w:val="28"/>
        </w:rPr>
        <w:t xml:space="preserve"> Mancilla</w:t>
      </w:r>
      <w:r w:rsidR="00253D00">
        <w:rPr>
          <w:sz w:val="28"/>
          <w:szCs w:val="28"/>
        </w:rPr>
        <w:t xml:space="preserve"> Reyes</w:t>
      </w:r>
      <w:r w:rsidRPr="004914FE">
        <w:rPr>
          <w:sz w:val="28"/>
          <w:szCs w:val="28"/>
        </w:rPr>
        <w:t xml:space="preserve">, </w:t>
      </w:r>
      <w:proofErr w:type="spellStart"/>
      <w:r w:rsidRPr="004914FE">
        <w:rPr>
          <w:b/>
          <w:sz w:val="28"/>
          <w:szCs w:val="28"/>
        </w:rPr>
        <w:t>S</w:t>
      </w:r>
      <w:r w:rsidRPr="004914FE">
        <w:rPr>
          <w:sz w:val="28"/>
          <w:szCs w:val="28"/>
        </w:rPr>
        <w:t>usan</w:t>
      </w:r>
      <w:proofErr w:type="spellEnd"/>
      <w:r w:rsidR="00253D00">
        <w:rPr>
          <w:sz w:val="28"/>
          <w:szCs w:val="28"/>
        </w:rPr>
        <w:t xml:space="preserve"> B.</w:t>
      </w:r>
      <w:r w:rsidRPr="004914FE">
        <w:rPr>
          <w:sz w:val="28"/>
          <w:szCs w:val="28"/>
        </w:rPr>
        <w:t xml:space="preserve"> R</w:t>
      </w:r>
      <w:r w:rsidR="00253D00">
        <w:rPr>
          <w:sz w:val="28"/>
          <w:szCs w:val="28"/>
        </w:rPr>
        <w:t>amírez Tejeda</w:t>
      </w:r>
      <w:r w:rsidRPr="004914FE">
        <w:rPr>
          <w:sz w:val="28"/>
          <w:szCs w:val="28"/>
        </w:rPr>
        <w:t xml:space="preserve">, </w:t>
      </w:r>
      <w:r w:rsidR="00253D00">
        <w:rPr>
          <w:sz w:val="28"/>
          <w:szCs w:val="28"/>
        </w:rPr>
        <w:t xml:space="preserve">María </w:t>
      </w:r>
      <w:r w:rsidRPr="004914FE">
        <w:rPr>
          <w:b/>
          <w:sz w:val="28"/>
          <w:szCs w:val="28"/>
        </w:rPr>
        <w:t>I</w:t>
      </w:r>
      <w:r w:rsidRPr="004914FE">
        <w:rPr>
          <w:sz w:val="28"/>
          <w:szCs w:val="28"/>
        </w:rPr>
        <w:t>nés Cruz Godínez</w:t>
      </w:r>
      <w:r>
        <w:rPr>
          <w:sz w:val="28"/>
          <w:szCs w:val="28"/>
        </w:rPr>
        <w:t>.</w:t>
      </w:r>
    </w:p>
    <w:p w14:paraId="769E369D" w14:textId="77777777" w:rsidR="004914FE" w:rsidRPr="00F67DBC" w:rsidRDefault="004914FE" w:rsidP="004914FE">
      <w:pPr>
        <w:spacing w:after="0" w:line="240" w:lineRule="auto"/>
        <w:rPr>
          <w:color w:val="FFFFFF" w:themeColor="background1"/>
          <w:sz w:val="28"/>
          <w:szCs w:val="28"/>
        </w:rPr>
      </w:pPr>
    </w:p>
    <w:p w14:paraId="2EA21B33" w14:textId="77777777" w:rsidR="00866240" w:rsidRPr="00F67DBC" w:rsidRDefault="00866240" w:rsidP="003F0321">
      <w:pPr>
        <w:pStyle w:val="ListParagraph"/>
        <w:numPr>
          <w:ilvl w:val="0"/>
          <w:numId w:val="1"/>
        </w:numPr>
        <w:jc w:val="both"/>
        <w:rPr>
          <w:rFonts w:ascii="Arial" w:hAnsi="Arial" w:cs="Arial"/>
          <w:color w:val="FFFFFF" w:themeColor="background1"/>
          <w:sz w:val="24"/>
          <w:szCs w:val="24"/>
          <w:highlight w:val="blue"/>
        </w:rPr>
      </w:pPr>
      <w:r w:rsidRPr="00F67DBC">
        <w:rPr>
          <w:rFonts w:ascii="Arial" w:hAnsi="Arial" w:cs="Arial"/>
          <w:color w:val="FFFFFF" w:themeColor="background1"/>
          <w:sz w:val="24"/>
          <w:szCs w:val="24"/>
          <w:highlight w:val="blue"/>
        </w:rPr>
        <w:t>De la escuela de la homogeneidad a la escuela de la diversidad</w:t>
      </w:r>
    </w:p>
    <w:p w14:paraId="1BFA383D" w14:textId="77777777" w:rsidR="00866240" w:rsidRPr="003F0321" w:rsidRDefault="00866240" w:rsidP="003F0321">
      <w:pPr>
        <w:pStyle w:val="ListParagraph"/>
        <w:jc w:val="both"/>
        <w:rPr>
          <w:rFonts w:ascii="Arial" w:hAnsi="Arial" w:cs="Arial"/>
          <w:sz w:val="24"/>
          <w:szCs w:val="24"/>
        </w:rPr>
      </w:pPr>
    </w:p>
    <w:p w14:paraId="694C454A" w14:textId="77777777" w:rsidR="00866240" w:rsidRPr="00F67DBC" w:rsidRDefault="00866240" w:rsidP="003F0321">
      <w:pPr>
        <w:pStyle w:val="ListParagraph"/>
        <w:spacing w:after="0" w:line="240" w:lineRule="auto"/>
        <w:jc w:val="both"/>
        <w:rPr>
          <w:rFonts w:ascii="Arial" w:hAnsi="Arial" w:cs="Arial"/>
          <w:color w:val="FFFFFF" w:themeColor="background1"/>
          <w:sz w:val="24"/>
          <w:szCs w:val="24"/>
        </w:rPr>
      </w:pPr>
      <w:r w:rsidRPr="003F0321">
        <w:rPr>
          <w:rFonts w:ascii="Arial" w:hAnsi="Arial" w:cs="Arial"/>
          <w:sz w:val="24"/>
          <w:szCs w:val="24"/>
        </w:rPr>
        <w:t xml:space="preserve">En este capítulo nos menciona la transformación de la escuela memorística a la escuela comprensiva. Con el propósito de formar pensadores competentes. Se requiere una escuela donde </w:t>
      </w:r>
      <w:r w:rsidRPr="00F67DBC">
        <w:rPr>
          <w:rFonts w:ascii="Arial" w:hAnsi="Arial" w:cs="Arial"/>
          <w:color w:val="FFFFFF" w:themeColor="background1"/>
          <w:sz w:val="24"/>
          <w:szCs w:val="24"/>
          <w:highlight w:val="blue"/>
        </w:rPr>
        <w:t>se asuma la sensibilidad, nuevos compromisos personales y sociales, toma de decisiones y responsabilidades.</w:t>
      </w:r>
    </w:p>
    <w:p w14:paraId="2E0B0C83" w14:textId="77777777" w:rsidR="00866240" w:rsidRPr="003F0321" w:rsidRDefault="001C6E86" w:rsidP="003F0321">
      <w:pPr>
        <w:pStyle w:val="ListParagraph"/>
        <w:spacing w:after="0" w:line="240" w:lineRule="auto"/>
        <w:jc w:val="both"/>
        <w:rPr>
          <w:rFonts w:ascii="Arial" w:hAnsi="Arial" w:cs="Arial"/>
          <w:sz w:val="24"/>
          <w:szCs w:val="24"/>
        </w:rPr>
      </w:pPr>
      <w:r w:rsidRPr="003F0321">
        <w:rPr>
          <w:rFonts w:ascii="Arial" w:hAnsi="Arial" w:cs="Arial"/>
          <w:sz w:val="24"/>
          <w:szCs w:val="24"/>
        </w:rPr>
        <w:t>En la escuela memorística s</w:t>
      </w:r>
      <w:r w:rsidR="00866240" w:rsidRPr="003F0321">
        <w:rPr>
          <w:rFonts w:ascii="Arial" w:hAnsi="Arial" w:cs="Arial"/>
          <w:sz w:val="24"/>
          <w:szCs w:val="24"/>
        </w:rPr>
        <w:t>e consideraba a la inteligencia como una facultad medible</w:t>
      </w:r>
      <w:r w:rsidR="00430CF2" w:rsidRPr="003F0321">
        <w:rPr>
          <w:rFonts w:ascii="Arial" w:hAnsi="Arial" w:cs="Arial"/>
          <w:sz w:val="24"/>
          <w:szCs w:val="24"/>
        </w:rPr>
        <w:t>, a través del seguimiento de operaciones algorítmicas, de la memorización. El triángulo didáctico (alumno, contenidos, docente) estaba encabezado por el objeto de conocimiento o los contenidos. En este pensamiento todos los alumnos eran iguales.</w:t>
      </w:r>
      <w:r w:rsidRPr="003F0321">
        <w:rPr>
          <w:rFonts w:ascii="Arial" w:hAnsi="Arial" w:cs="Arial"/>
          <w:sz w:val="24"/>
          <w:szCs w:val="24"/>
        </w:rPr>
        <w:t xml:space="preserve"> Luego entra el constructivismo.</w:t>
      </w:r>
    </w:p>
    <w:p w14:paraId="78EBD541" w14:textId="77777777" w:rsidR="00430CF2" w:rsidRPr="003F0321" w:rsidRDefault="00430CF2" w:rsidP="003F0321">
      <w:pPr>
        <w:pStyle w:val="ListParagraph"/>
        <w:spacing w:after="0" w:line="240" w:lineRule="auto"/>
        <w:jc w:val="both"/>
        <w:rPr>
          <w:rFonts w:ascii="Arial" w:hAnsi="Arial" w:cs="Arial"/>
          <w:sz w:val="24"/>
          <w:szCs w:val="24"/>
        </w:rPr>
      </w:pPr>
    </w:p>
    <w:p w14:paraId="0A610C63" w14:textId="77777777" w:rsidR="00430CF2" w:rsidRPr="00F67DBC" w:rsidRDefault="00430CF2" w:rsidP="003F0321">
      <w:pPr>
        <w:pStyle w:val="ListParagraph"/>
        <w:numPr>
          <w:ilvl w:val="0"/>
          <w:numId w:val="1"/>
        </w:numPr>
        <w:spacing w:after="0" w:line="240" w:lineRule="auto"/>
        <w:jc w:val="both"/>
        <w:rPr>
          <w:rFonts w:ascii="Arial" w:hAnsi="Arial" w:cs="Arial"/>
          <w:color w:val="FFFFFF" w:themeColor="background1"/>
          <w:sz w:val="24"/>
          <w:szCs w:val="24"/>
          <w:highlight w:val="blue"/>
        </w:rPr>
      </w:pPr>
      <w:r w:rsidRPr="00F67DBC">
        <w:rPr>
          <w:rFonts w:ascii="Arial" w:hAnsi="Arial" w:cs="Arial"/>
          <w:color w:val="FFFFFF" w:themeColor="background1"/>
          <w:sz w:val="24"/>
          <w:szCs w:val="24"/>
          <w:highlight w:val="blue"/>
        </w:rPr>
        <w:t>Estrategia.  Espacio de interacción de pensamiento y acción.</w:t>
      </w:r>
    </w:p>
    <w:p w14:paraId="4824E97D" w14:textId="77777777" w:rsidR="001C6E86" w:rsidRPr="003F0321" w:rsidRDefault="001C6E86" w:rsidP="003F0321">
      <w:pPr>
        <w:pStyle w:val="ListParagraph"/>
        <w:spacing w:after="0" w:line="240" w:lineRule="auto"/>
        <w:jc w:val="both"/>
        <w:rPr>
          <w:rFonts w:ascii="Arial" w:hAnsi="Arial" w:cs="Arial"/>
          <w:sz w:val="24"/>
          <w:szCs w:val="24"/>
        </w:rPr>
      </w:pPr>
    </w:p>
    <w:p w14:paraId="4B1E2ABD" w14:textId="77777777" w:rsidR="00430CF2" w:rsidRPr="003F0321" w:rsidRDefault="001C6E86" w:rsidP="003F0321">
      <w:pPr>
        <w:pStyle w:val="ListParagraph"/>
        <w:spacing w:after="0" w:line="240" w:lineRule="auto"/>
        <w:jc w:val="both"/>
        <w:rPr>
          <w:rFonts w:ascii="Arial" w:hAnsi="Arial" w:cs="Arial"/>
          <w:sz w:val="24"/>
          <w:szCs w:val="24"/>
        </w:rPr>
      </w:pPr>
      <w:r w:rsidRPr="003F0321">
        <w:rPr>
          <w:rFonts w:ascii="Arial" w:hAnsi="Arial" w:cs="Arial"/>
          <w:sz w:val="24"/>
          <w:szCs w:val="24"/>
        </w:rPr>
        <w:t>Pensamiento algorítmico: Responde a un conjunto ordenado y finito de operaciones que permite hallar la solución de un problema. Una vez formulada una solución algorítmica, puede ser utilizada por otros, incluso sin comprender la razón por la cual funciona.</w:t>
      </w:r>
      <w:r w:rsidR="003F0321">
        <w:rPr>
          <w:rFonts w:ascii="Arial" w:hAnsi="Arial" w:cs="Arial"/>
          <w:sz w:val="24"/>
          <w:szCs w:val="24"/>
        </w:rPr>
        <w:t xml:space="preserve"> Se aplica, por ejemplo, al momento de realizar una operación matemática, en la que debes seguir al pie de la letra una fórmula y el resto del procedimiento en pasos rigurosos, en la secuencia de pasos en el trazado geométrico, en la lectura mecánica, escritura ortográfica, etc.</w:t>
      </w:r>
    </w:p>
    <w:p w14:paraId="5F5A75B1" w14:textId="77777777" w:rsidR="001C6E86" w:rsidRPr="003F0321" w:rsidRDefault="001C6E86" w:rsidP="003F0321">
      <w:pPr>
        <w:pStyle w:val="ListParagraph"/>
        <w:spacing w:after="0" w:line="240" w:lineRule="auto"/>
        <w:jc w:val="both"/>
        <w:rPr>
          <w:rFonts w:ascii="Arial" w:hAnsi="Arial" w:cs="Arial"/>
          <w:sz w:val="24"/>
          <w:szCs w:val="24"/>
        </w:rPr>
      </w:pPr>
    </w:p>
    <w:p w14:paraId="2C61E9C2" w14:textId="77777777" w:rsidR="001C6E86" w:rsidRPr="003F0321" w:rsidRDefault="001C6E86" w:rsidP="003F0321">
      <w:pPr>
        <w:pStyle w:val="ListParagraph"/>
        <w:spacing w:after="0" w:line="240" w:lineRule="auto"/>
        <w:jc w:val="both"/>
        <w:rPr>
          <w:rFonts w:ascii="Arial" w:hAnsi="Arial" w:cs="Arial"/>
          <w:sz w:val="24"/>
          <w:szCs w:val="24"/>
        </w:rPr>
      </w:pPr>
      <w:r w:rsidRPr="003F0321">
        <w:rPr>
          <w:rFonts w:ascii="Arial" w:hAnsi="Arial" w:cs="Arial"/>
          <w:sz w:val="24"/>
          <w:szCs w:val="24"/>
        </w:rPr>
        <w:t xml:space="preserve">Pensamiento estratégico: la estrategia es el arte de dirigir las operaciones. Proceder de manera estratégica significa analizar todas las posibilidades de acción ante un problema, “Acciones reflexivas antes que respuestas mecánicas”. </w:t>
      </w:r>
      <w:r w:rsidR="005F0082" w:rsidRPr="003F0321">
        <w:rPr>
          <w:rFonts w:ascii="Arial" w:hAnsi="Arial" w:cs="Arial"/>
          <w:sz w:val="24"/>
          <w:szCs w:val="24"/>
        </w:rPr>
        <w:t>Acciones a considerar:</w:t>
      </w:r>
    </w:p>
    <w:p w14:paraId="435184E1" w14:textId="77777777" w:rsidR="00326A89" w:rsidRPr="003F0321" w:rsidRDefault="00326A89" w:rsidP="003F0321">
      <w:pPr>
        <w:pStyle w:val="ListParagraph"/>
        <w:spacing w:after="0" w:line="240" w:lineRule="auto"/>
        <w:jc w:val="both"/>
        <w:rPr>
          <w:rFonts w:ascii="Arial" w:hAnsi="Arial" w:cs="Arial"/>
          <w:sz w:val="24"/>
          <w:szCs w:val="24"/>
        </w:rPr>
      </w:pPr>
    </w:p>
    <w:p w14:paraId="29637791" w14:textId="77777777" w:rsidR="00326A89" w:rsidRPr="003F0321" w:rsidRDefault="00326A89" w:rsidP="003F0321">
      <w:pPr>
        <w:pStyle w:val="ListParagraph"/>
        <w:numPr>
          <w:ilvl w:val="0"/>
          <w:numId w:val="3"/>
        </w:numPr>
        <w:spacing w:after="0" w:line="240" w:lineRule="auto"/>
        <w:jc w:val="both"/>
        <w:rPr>
          <w:rFonts w:ascii="Arial" w:hAnsi="Arial" w:cs="Arial"/>
          <w:sz w:val="24"/>
          <w:szCs w:val="24"/>
        </w:rPr>
      </w:pPr>
      <w:r w:rsidRPr="003F0321">
        <w:rPr>
          <w:rFonts w:ascii="Arial" w:hAnsi="Arial" w:cs="Arial"/>
          <w:sz w:val="24"/>
          <w:szCs w:val="24"/>
        </w:rPr>
        <w:t>Identificar el problema o desequilibrio</w:t>
      </w:r>
    </w:p>
    <w:p w14:paraId="67EEC89F" w14:textId="77777777" w:rsidR="00326A89" w:rsidRPr="003F0321" w:rsidRDefault="00326A89" w:rsidP="003F0321">
      <w:pPr>
        <w:pStyle w:val="ListParagraph"/>
        <w:numPr>
          <w:ilvl w:val="0"/>
          <w:numId w:val="3"/>
        </w:numPr>
        <w:spacing w:after="0" w:line="240" w:lineRule="auto"/>
        <w:jc w:val="both"/>
        <w:rPr>
          <w:rFonts w:ascii="Arial" w:hAnsi="Arial" w:cs="Arial"/>
          <w:sz w:val="24"/>
          <w:szCs w:val="24"/>
        </w:rPr>
      </w:pPr>
      <w:r w:rsidRPr="003F0321">
        <w:rPr>
          <w:rFonts w:ascii="Arial" w:hAnsi="Arial" w:cs="Arial"/>
          <w:sz w:val="24"/>
          <w:szCs w:val="24"/>
        </w:rPr>
        <w:t>Una estrategia que sirva para definir el objetivo de la tarea a emprender</w:t>
      </w:r>
    </w:p>
    <w:p w14:paraId="4E935886" w14:textId="77777777" w:rsidR="00326A89" w:rsidRPr="003F0321" w:rsidRDefault="00326A89" w:rsidP="003F0321">
      <w:pPr>
        <w:pStyle w:val="ListParagraph"/>
        <w:numPr>
          <w:ilvl w:val="0"/>
          <w:numId w:val="3"/>
        </w:numPr>
        <w:spacing w:after="0" w:line="240" w:lineRule="auto"/>
        <w:jc w:val="both"/>
        <w:rPr>
          <w:rFonts w:ascii="Arial" w:hAnsi="Arial" w:cs="Arial"/>
          <w:sz w:val="24"/>
          <w:szCs w:val="24"/>
        </w:rPr>
      </w:pPr>
      <w:r w:rsidRPr="003F0321">
        <w:rPr>
          <w:rFonts w:ascii="Arial" w:hAnsi="Arial" w:cs="Arial"/>
          <w:sz w:val="24"/>
          <w:szCs w:val="24"/>
        </w:rPr>
        <w:t>Reconocer las condiciones de la situación y los recursos de que se dispone.</w:t>
      </w:r>
    </w:p>
    <w:p w14:paraId="05B7E194" w14:textId="77777777" w:rsidR="00326A89" w:rsidRPr="003F0321" w:rsidRDefault="00326A89" w:rsidP="003F0321">
      <w:pPr>
        <w:pStyle w:val="ListParagraph"/>
        <w:numPr>
          <w:ilvl w:val="0"/>
          <w:numId w:val="3"/>
        </w:numPr>
        <w:spacing w:after="0" w:line="240" w:lineRule="auto"/>
        <w:jc w:val="both"/>
        <w:rPr>
          <w:rFonts w:ascii="Arial" w:hAnsi="Arial" w:cs="Arial"/>
          <w:sz w:val="24"/>
          <w:szCs w:val="24"/>
        </w:rPr>
      </w:pPr>
      <w:r w:rsidRPr="003F0321">
        <w:rPr>
          <w:rFonts w:ascii="Arial" w:hAnsi="Arial" w:cs="Arial"/>
          <w:sz w:val="24"/>
          <w:szCs w:val="24"/>
        </w:rPr>
        <w:t>Prever diferentes alternativas de ejecución</w:t>
      </w:r>
    </w:p>
    <w:p w14:paraId="7A559685" w14:textId="77777777" w:rsidR="00326A89" w:rsidRPr="003F0321" w:rsidRDefault="00326A89" w:rsidP="003F0321">
      <w:pPr>
        <w:pStyle w:val="ListParagraph"/>
        <w:numPr>
          <w:ilvl w:val="0"/>
          <w:numId w:val="3"/>
        </w:numPr>
        <w:spacing w:after="0" w:line="240" w:lineRule="auto"/>
        <w:jc w:val="both"/>
        <w:rPr>
          <w:rFonts w:ascii="Arial" w:hAnsi="Arial" w:cs="Arial"/>
          <w:sz w:val="24"/>
          <w:szCs w:val="24"/>
        </w:rPr>
      </w:pPr>
      <w:r w:rsidRPr="003F0321">
        <w:rPr>
          <w:rFonts w:ascii="Arial" w:hAnsi="Arial" w:cs="Arial"/>
          <w:sz w:val="24"/>
          <w:szCs w:val="24"/>
        </w:rPr>
        <w:t>Tomar la decisión más eficaz.</w:t>
      </w:r>
    </w:p>
    <w:p w14:paraId="407C6F84" w14:textId="77777777" w:rsidR="00326A89" w:rsidRPr="003F0321" w:rsidRDefault="00326A89" w:rsidP="003F0321">
      <w:pPr>
        <w:pStyle w:val="ListParagraph"/>
        <w:numPr>
          <w:ilvl w:val="0"/>
          <w:numId w:val="3"/>
        </w:numPr>
        <w:spacing w:after="0" w:line="240" w:lineRule="auto"/>
        <w:jc w:val="both"/>
        <w:rPr>
          <w:rFonts w:ascii="Arial" w:hAnsi="Arial" w:cs="Arial"/>
          <w:sz w:val="24"/>
          <w:szCs w:val="24"/>
        </w:rPr>
      </w:pPr>
      <w:r w:rsidRPr="003F0321">
        <w:rPr>
          <w:rFonts w:ascii="Arial" w:hAnsi="Arial" w:cs="Arial"/>
          <w:sz w:val="24"/>
          <w:szCs w:val="24"/>
        </w:rPr>
        <w:t>Actuar atendiendo a  las condiciones cambiantes que se generan</w:t>
      </w:r>
    </w:p>
    <w:p w14:paraId="00CEF6E5" w14:textId="77777777" w:rsidR="00326A89" w:rsidRPr="003F0321" w:rsidRDefault="00326A89" w:rsidP="003F0321">
      <w:pPr>
        <w:pStyle w:val="ListParagraph"/>
        <w:numPr>
          <w:ilvl w:val="0"/>
          <w:numId w:val="3"/>
        </w:numPr>
        <w:spacing w:after="0" w:line="240" w:lineRule="auto"/>
        <w:jc w:val="both"/>
        <w:rPr>
          <w:rFonts w:ascii="Arial" w:hAnsi="Arial" w:cs="Arial"/>
          <w:sz w:val="24"/>
          <w:szCs w:val="24"/>
        </w:rPr>
      </w:pPr>
      <w:r w:rsidRPr="003F0321">
        <w:rPr>
          <w:rFonts w:ascii="Arial" w:hAnsi="Arial" w:cs="Arial"/>
          <w:sz w:val="24"/>
          <w:szCs w:val="24"/>
        </w:rPr>
        <w:lastRenderedPageBreak/>
        <w:t xml:space="preserve">Evaluar o </w:t>
      </w:r>
      <w:proofErr w:type="spellStart"/>
      <w:r w:rsidRPr="003F0321">
        <w:rPr>
          <w:rFonts w:ascii="Arial" w:hAnsi="Arial" w:cs="Arial"/>
          <w:sz w:val="24"/>
          <w:szCs w:val="24"/>
        </w:rPr>
        <w:t>replanificar</w:t>
      </w:r>
      <w:proofErr w:type="spellEnd"/>
      <w:r w:rsidRPr="003F0321">
        <w:rPr>
          <w:rFonts w:ascii="Arial" w:hAnsi="Arial" w:cs="Arial"/>
          <w:sz w:val="24"/>
          <w:szCs w:val="24"/>
        </w:rPr>
        <w:t xml:space="preserve"> la acción </w:t>
      </w:r>
    </w:p>
    <w:p w14:paraId="1EE25DCD" w14:textId="77777777" w:rsidR="00326A89" w:rsidRPr="003F0321" w:rsidRDefault="00326A89" w:rsidP="003F0321">
      <w:pPr>
        <w:pStyle w:val="ListParagraph"/>
        <w:numPr>
          <w:ilvl w:val="0"/>
          <w:numId w:val="3"/>
        </w:numPr>
        <w:spacing w:after="0" w:line="240" w:lineRule="auto"/>
        <w:jc w:val="both"/>
        <w:rPr>
          <w:rFonts w:ascii="Arial" w:hAnsi="Arial" w:cs="Arial"/>
          <w:sz w:val="24"/>
          <w:szCs w:val="24"/>
        </w:rPr>
      </w:pPr>
      <w:r w:rsidRPr="003F0321">
        <w:rPr>
          <w:rFonts w:ascii="Arial" w:hAnsi="Arial" w:cs="Arial"/>
          <w:sz w:val="24"/>
          <w:szCs w:val="24"/>
        </w:rPr>
        <w:t>Pensar tus propias estrategias</w:t>
      </w:r>
    </w:p>
    <w:p w14:paraId="6D353433" w14:textId="77777777" w:rsidR="00326A89" w:rsidRPr="003F0321" w:rsidRDefault="00326A89" w:rsidP="003F0321">
      <w:pPr>
        <w:pStyle w:val="ListParagraph"/>
        <w:spacing w:after="0" w:line="240" w:lineRule="auto"/>
        <w:ind w:left="1440"/>
        <w:jc w:val="both"/>
        <w:rPr>
          <w:rFonts w:ascii="Arial" w:hAnsi="Arial" w:cs="Arial"/>
          <w:sz w:val="24"/>
          <w:szCs w:val="24"/>
        </w:rPr>
      </w:pPr>
    </w:p>
    <w:p w14:paraId="2D206CBF" w14:textId="77777777" w:rsidR="00420E71" w:rsidRPr="00F67DBC" w:rsidRDefault="00420E71" w:rsidP="003F0321">
      <w:pPr>
        <w:pStyle w:val="ListParagraph"/>
        <w:numPr>
          <w:ilvl w:val="0"/>
          <w:numId w:val="5"/>
        </w:numPr>
        <w:spacing w:after="0" w:line="240" w:lineRule="auto"/>
        <w:jc w:val="both"/>
        <w:rPr>
          <w:rFonts w:ascii="Arial" w:hAnsi="Arial" w:cs="Arial"/>
          <w:color w:val="FFFFFF" w:themeColor="background1"/>
          <w:sz w:val="24"/>
          <w:szCs w:val="24"/>
          <w:highlight w:val="blue"/>
        </w:rPr>
      </w:pPr>
      <w:r w:rsidRPr="00F67DBC">
        <w:rPr>
          <w:rFonts w:ascii="Arial" w:hAnsi="Arial" w:cs="Arial"/>
          <w:color w:val="FFFFFF" w:themeColor="background1"/>
          <w:sz w:val="24"/>
          <w:szCs w:val="24"/>
          <w:highlight w:val="blue"/>
          <w:u w:val="single"/>
        </w:rPr>
        <w:t>Lo valioso del aprendizaje estratégico no está en ampliar el repertorio de recursos de los alumnos, si no en que reconozcan su capacidad de evocar, adaptar o crear las estrategias alternativas de la situación</w:t>
      </w:r>
    </w:p>
    <w:p w14:paraId="4FF89FF2" w14:textId="77777777" w:rsidR="00420E71" w:rsidRPr="003F0321" w:rsidRDefault="00420E71" w:rsidP="003F0321">
      <w:pPr>
        <w:pStyle w:val="ListParagraph"/>
        <w:spacing w:after="0" w:line="240" w:lineRule="auto"/>
        <w:ind w:left="1440"/>
        <w:jc w:val="both"/>
        <w:rPr>
          <w:rFonts w:ascii="Arial" w:hAnsi="Arial" w:cs="Arial"/>
          <w:sz w:val="24"/>
          <w:szCs w:val="24"/>
        </w:rPr>
      </w:pPr>
    </w:p>
    <w:p w14:paraId="101CE879" w14:textId="77777777" w:rsidR="00326A89" w:rsidRPr="003F0321" w:rsidRDefault="00326A89" w:rsidP="003F0321">
      <w:pPr>
        <w:pStyle w:val="ListParagraph"/>
        <w:spacing w:after="0" w:line="240" w:lineRule="auto"/>
        <w:jc w:val="both"/>
        <w:rPr>
          <w:rFonts w:ascii="Arial" w:hAnsi="Arial" w:cs="Arial"/>
          <w:sz w:val="24"/>
          <w:szCs w:val="24"/>
        </w:rPr>
      </w:pPr>
    </w:p>
    <w:p w14:paraId="400F3077" w14:textId="77777777" w:rsidR="00565B27" w:rsidRPr="003F0321" w:rsidRDefault="00565B27" w:rsidP="003F0321">
      <w:pPr>
        <w:pStyle w:val="ListParagraph"/>
        <w:spacing w:after="0" w:line="240" w:lineRule="auto"/>
        <w:jc w:val="both"/>
        <w:rPr>
          <w:rFonts w:ascii="Arial" w:hAnsi="Arial" w:cs="Arial"/>
          <w:sz w:val="24"/>
          <w:szCs w:val="24"/>
        </w:rPr>
      </w:pPr>
    </w:p>
    <w:p w14:paraId="21C31C26" w14:textId="77777777" w:rsidR="00326A89" w:rsidRPr="003F0321" w:rsidRDefault="00565B27" w:rsidP="003F0321">
      <w:pPr>
        <w:pStyle w:val="ListParagraph"/>
        <w:spacing w:after="0" w:line="240" w:lineRule="auto"/>
        <w:jc w:val="both"/>
        <w:rPr>
          <w:rFonts w:ascii="Arial" w:hAnsi="Arial" w:cs="Arial"/>
          <w:sz w:val="24"/>
          <w:szCs w:val="24"/>
        </w:rPr>
      </w:pPr>
      <w:r w:rsidRPr="003F0321">
        <w:rPr>
          <w:rFonts w:ascii="Arial" w:hAnsi="Arial" w:cs="Arial"/>
          <w:sz w:val="24"/>
          <w:szCs w:val="24"/>
        </w:rPr>
        <w:t>No se pueden aplicar las mismas estrategias a cada campo del conocimiento. Los psicólogos llaman métodos fuertes a aquellos que sólo se aplican a un área de conocimiento específico, por ejemplo en cálculo, en gramática, geografía, etc. Y métodos débiles a los que se aplican en cualquier dominio, por ejemplo, las técnicas de estudio.</w:t>
      </w:r>
    </w:p>
    <w:p w14:paraId="551BAC41" w14:textId="77777777" w:rsidR="00565B27" w:rsidRPr="003F0321" w:rsidRDefault="00565B27" w:rsidP="003F0321">
      <w:pPr>
        <w:pStyle w:val="ListParagraph"/>
        <w:spacing w:after="0" w:line="240" w:lineRule="auto"/>
        <w:jc w:val="both"/>
        <w:rPr>
          <w:rFonts w:ascii="Arial" w:hAnsi="Arial" w:cs="Arial"/>
          <w:sz w:val="24"/>
          <w:szCs w:val="24"/>
        </w:rPr>
      </w:pPr>
      <w:r w:rsidRPr="00F67DBC">
        <w:rPr>
          <w:rFonts w:ascii="Arial" w:hAnsi="Arial" w:cs="Arial"/>
          <w:color w:val="FFFFFF" w:themeColor="background1"/>
          <w:sz w:val="24"/>
          <w:szCs w:val="24"/>
          <w:highlight w:val="blue"/>
        </w:rPr>
        <w:t xml:space="preserve">John </w:t>
      </w:r>
      <w:proofErr w:type="spellStart"/>
      <w:r w:rsidRPr="00F67DBC">
        <w:rPr>
          <w:rFonts w:ascii="Arial" w:hAnsi="Arial" w:cs="Arial"/>
          <w:color w:val="FFFFFF" w:themeColor="background1"/>
          <w:sz w:val="24"/>
          <w:szCs w:val="24"/>
          <w:highlight w:val="blue"/>
        </w:rPr>
        <w:t>Bruer</w:t>
      </w:r>
      <w:proofErr w:type="spellEnd"/>
      <w:r w:rsidRPr="003F0321">
        <w:rPr>
          <w:rFonts w:ascii="Arial" w:hAnsi="Arial" w:cs="Arial"/>
          <w:sz w:val="24"/>
          <w:szCs w:val="24"/>
        </w:rPr>
        <w:t xml:space="preserve"> propone una síntesis de las estrategias</w:t>
      </w:r>
      <w:r w:rsidR="003F0321" w:rsidRPr="003F0321">
        <w:rPr>
          <w:rFonts w:ascii="Arial" w:hAnsi="Arial" w:cs="Arial"/>
          <w:sz w:val="24"/>
          <w:szCs w:val="24"/>
        </w:rPr>
        <w:t xml:space="preserve"> a seguir</w:t>
      </w:r>
      <w:r w:rsidRPr="003F0321">
        <w:rPr>
          <w:rFonts w:ascii="Arial" w:hAnsi="Arial" w:cs="Arial"/>
          <w:sz w:val="24"/>
          <w:szCs w:val="24"/>
        </w:rPr>
        <w:t xml:space="preserve"> clasificándolas en:</w:t>
      </w:r>
    </w:p>
    <w:p w14:paraId="21AC1A46" w14:textId="77777777" w:rsidR="00565B27" w:rsidRPr="003F0321" w:rsidRDefault="00565B27" w:rsidP="003F0321">
      <w:pPr>
        <w:pStyle w:val="ListParagraph"/>
        <w:spacing w:after="0" w:line="240" w:lineRule="auto"/>
        <w:jc w:val="both"/>
        <w:rPr>
          <w:rFonts w:ascii="Arial" w:hAnsi="Arial" w:cs="Arial"/>
          <w:sz w:val="24"/>
          <w:szCs w:val="24"/>
        </w:rPr>
      </w:pPr>
    </w:p>
    <w:p w14:paraId="6278AF0B" w14:textId="77777777" w:rsidR="00565B27" w:rsidRPr="003F0321" w:rsidRDefault="00565B27" w:rsidP="003F0321">
      <w:pPr>
        <w:pStyle w:val="ListParagraph"/>
        <w:numPr>
          <w:ilvl w:val="0"/>
          <w:numId w:val="6"/>
        </w:numPr>
        <w:tabs>
          <w:tab w:val="left" w:pos="993"/>
        </w:tabs>
        <w:spacing w:after="0" w:line="240" w:lineRule="auto"/>
        <w:jc w:val="both"/>
        <w:rPr>
          <w:rFonts w:ascii="Arial" w:hAnsi="Arial" w:cs="Arial"/>
          <w:sz w:val="24"/>
          <w:szCs w:val="24"/>
        </w:rPr>
      </w:pPr>
      <w:r w:rsidRPr="003F0321">
        <w:rPr>
          <w:rFonts w:ascii="Arial" w:hAnsi="Arial" w:cs="Arial"/>
          <w:sz w:val="24"/>
          <w:szCs w:val="24"/>
        </w:rPr>
        <w:t>Estrategias en domino especifico (áreas disciplinares)</w:t>
      </w:r>
    </w:p>
    <w:p w14:paraId="4AE01B01" w14:textId="77777777" w:rsidR="00565B27" w:rsidRPr="003F0321" w:rsidRDefault="00565B27" w:rsidP="003F0321">
      <w:pPr>
        <w:pStyle w:val="ListParagraph"/>
        <w:numPr>
          <w:ilvl w:val="0"/>
          <w:numId w:val="6"/>
        </w:numPr>
        <w:tabs>
          <w:tab w:val="left" w:pos="993"/>
        </w:tabs>
        <w:spacing w:after="0" w:line="240" w:lineRule="auto"/>
        <w:jc w:val="both"/>
        <w:rPr>
          <w:rFonts w:ascii="Arial" w:hAnsi="Arial" w:cs="Arial"/>
          <w:sz w:val="24"/>
          <w:szCs w:val="24"/>
        </w:rPr>
      </w:pPr>
      <w:r w:rsidRPr="003F0321">
        <w:rPr>
          <w:rFonts w:ascii="Arial" w:hAnsi="Arial" w:cs="Arial"/>
          <w:sz w:val="24"/>
          <w:szCs w:val="24"/>
        </w:rPr>
        <w:t>Estrategias de los procesos mentales básicos (memoria, atención e imaginación)</w:t>
      </w:r>
    </w:p>
    <w:p w14:paraId="1278BF52" w14:textId="77777777" w:rsidR="00565B27" w:rsidRPr="003F0321" w:rsidRDefault="00565B27" w:rsidP="003F0321">
      <w:pPr>
        <w:pStyle w:val="ListParagraph"/>
        <w:numPr>
          <w:ilvl w:val="0"/>
          <w:numId w:val="6"/>
        </w:numPr>
        <w:tabs>
          <w:tab w:val="left" w:pos="993"/>
        </w:tabs>
        <w:spacing w:after="0" w:line="240" w:lineRule="auto"/>
        <w:jc w:val="both"/>
        <w:rPr>
          <w:rFonts w:ascii="Arial" w:hAnsi="Arial" w:cs="Arial"/>
          <w:sz w:val="24"/>
          <w:szCs w:val="24"/>
        </w:rPr>
      </w:pPr>
      <w:r w:rsidRPr="003F0321">
        <w:rPr>
          <w:rFonts w:ascii="Arial" w:hAnsi="Arial" w:cs="Arial"/>
          <w:sz w:val="24"/>
          <w:szCs w:val="24"/>
        </w:rPr>
        <w:t xml:space="preserve">Estrategias </w:t>
      </w:r>
      <w:r w:rsidR="00F67DBC" w:rsidRPr="003F0321">
        <w:rPr>
          <w:rFonts w:ascii="Arial" w:hAnsi="Arial" w:cs="Arial"/>
          <w:sz w:val="24"/>
          <w:szCs w:val="24"/>
        </w:rPr>
        <w:t>meta cognitivas</w:t>
      </w:r>
      <w:bookmarkStart w:id="0" w:name="_GoBack"/>
      <w:bookmarkEnd w:id="0"/>
      <w:r w:rsidRPr="003F0321">
        <w:rPr>
          <w:rFonts w:ascii="Arial" w:hAnsi="Arial" w:cs="Arial"/>
          <w:sz w:val="24"/>
          <w:szCs w:val="24"/>
        </w:rPr>
        <w:t xml:space="preserve"> y comunicacionales</w:t>
      </w:r>
    </w:p>
    <w:p w14:paraId="3D506AFB" w14:textId="77777777" w:rsidR="00565B27" w:rsidRPr="003F0321" w:rsidRDefault="00565B27" w:rsidP="003F0321">
      <w:pPr>
        <w:pStyle w:val="ListParagraph"/>
        <w:spacing w:after="0" w:line="240" w:lineRule="auto"/>
        <w:jc w:val="both"/>
        <w:rPr>
          <w:rFonts w:ascii="Arial" w:hAnsi="Arial" w:cs="Arial"/>
          <w:sz w:val="24"/>
          <w:szCs w:val="24"/>
        </w:rPr>
      </w:pPr>
    </w:p>
    <w:sectPr w:rsidR="00565B27" w:rsidRPr="003F03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E58"/>
    <w:multiLevelType w:val="hybridMultilevel"/>
    <w:tmpl w:val="9CC6FC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9A5EEF"/>
    <w:multiLevelType w:val="hybridMultilevel"/>
    <w:tmpl w:val="72C2D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694705B"/>
    <w:multiLevelType w:val="hybridMultilevel"/>
    <w:tmpl w:val="7A407768"/>
    <w:lvl w:ilvl="0" w:tplc="541646C6">
      <w:start w:val="1"/>
      <w:numFmt w:val="decimal"/>
      <w:lvlText w:val="%1."/>
      <w:lvlJc w:val="left"/>
      <w:pPr>
        <w:ind w:left="644" w:hanging="360"/>
      </w:pPr>
      <w:rPr>
        <w:rFonts w:hint="default"/>
        <w:sz w:val="28"/>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nsid w:val="48BB7D86"/>
    <w:multiLevelType w:val="hybridMultilevel"/>
    <w:tmpl w:val="9BCA1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EFC35CA"/>
    <w:multiLevelType w:val="hybridMultilevel"/>
    <w:tmpl w:val="A35ED8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74EE117A"/>
    <w:multiLevelType w:val="hybridMultilevel"/>
    <w:tmpl w:val="4A620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240"/>
    <w:rsid w:val="0019253F"/>
    <w:rsid w:val="001C6E86"/>
    <w:rsid w:val="00253D00"/>
    <w:rsid w:val="00326A89"/>
    <w:rsid w:val="003F0321"/>
    <w:rsid w:val="00420E71"/>
    <w:rsid w:val="00430CF2"/>
    <w:rsid w:val="004914FE"/>
    <w:rsid w:val="00565B27"/>
    <w:rsid w:val="005F0082"/>
    <w:rsid w:val="00866240"/>
    <w:rsid w:val="00F67DB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13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240"/>
    <w:rPr>
      <w:rFonts w:eastAsiaTheme="minorEastAsia"/>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24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240"/>
    <w:rPr>
      <w:rFonts w:eastAsiaTheme="minorEastAsia"/>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444</Words>
  <Characters>2534</Characters>
  <Application>Microsoft Macintosh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dc:creator>
  <cp:lastModifiedBy>Ilse Gonzalez</cp:lastModifiedBy>
  <cp:revision>9</cp:revision>
  <dcterms:created xsi:type="dcterms:W3CDTF">2013-04-07T07:47:00Z</dcterms:created>
  <dcterms:modified xsi:type="dcterms:W3CDTF">2013-05-06T20:55:00Z</dcterms:modified>
</cp:coreProperties>
</file>